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4A" w:rsidRDefault="005B094A" w:rsidP="005B0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Рекомендации по вопросу</w:t>
      </w:r>
    </w:p>
    <w:p w:rsidR="005B094A" w:rsidRDefault="005B094A" w:rsidP="005B0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подписания бизнес-сообществом соглашений, хартий, меморандумов и прочих документов в сфере противодействия незаконному обороту промышленной продукции</w:t>
      </w:r>
    </w:p>
    <w:bookmarkEnd w:id="0"/>
    <w:p w:rsidR="005B094A" w:rsidRDefault="005B094A" w:rsidP="005B0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94A" w:rsidRDefault="005B094A" w:rsidP="005B0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B094A" w:rsidRDefault="005B094A" w:rsidP="005B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рекомендации разработаны в рамках исполнения пункта 31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Плана первоочередных мероприятий по реализации Стратегии по противодействию незаконному обороту промышленной продукции в Российской Федерации на период до 2020 года и плановый период до 2025 года, утвержденного распоряжением Правительства Российской Федерации от 29.02.2018 № 533-р.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рекомендациях используются следующие основные понятия: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b/>
          <w:sz w:val="28"/>
          <w:szCs w:val="28"/>
        </w:rPr>
        <w:t>соглашение (хартия, меморандум и т.д.) в сфере противодействия незаконному обороту промышленной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– документ, направленный на организацию и осуществление различных форм взаимодействия (сотрудничества), включая реализацию конкретных мероприятий в указанной сфере (далее – соглашения);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бизнес-сообщество</w:t>
      </w:r>
      <w:r>
        <w:rPr>
          <w:rFonts w:ascii="Times New Roman" w:hAnsi="Times New Roman" w:cs="Times New Roman"/>
          <w:sz w:val="28"/>
          <w:szCs w:val="28"/>
        </w:rPr>
        <w:t xml:space="preserve"> – коммерческие организации, а также отраслевые объединения производителей (поставщиков) промышленной продукции (ассоциации, союзы, некоммерческие партнерства и т.д., далее – отраслевые объединения);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>стороны соглашения</w:t>
      </w:r>
      <w:r>
        <w:rPr>
          <w:rFonts w:ascii="Times New Roman" w:hAnsi="Times New Roman" w:cs="Times New Roman"/>
          <w:sz w:val="28"/>
          <w:szCs w:val="28"/>
        </w:rPr>
        <w:t xml:space="preserve"> – коммерческие организации, отраслевые объединения, органы государственной власти, органы местного самоуправления.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подписания соглашений в сфере противодействия незаконному обороту промышленной продукции является создание организационных и правовых основ взаимодействия (сотрудничества) в указанной сфере; совместное проведение мероприятий (реализация мер), направленных на снижение объемов нелегальной продукции, реализуемой на внутреннем рынке Российской Федерации.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субъектного состава возможны следующие </w:t>
      </w:r>
      <w:r>
        <w:rPr>
          <w:rFonts w:ascii="Times New Roman" w:hAnsi="Times New Roman" w:cs="Times New Roman"/>
          <w:b/>
          <w:sz w:val="28"/>
          <w:szCs w:val="28"/>
        </w:rPr>
        <w:t>варианты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соглашений: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между отраслевыми объединениями;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между отраслевыми объединениями и коммерческими организациями;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между отраслевыми объединениями и органами государственной власти (органами местного самоуправления).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подготовке и подписанию соглашений в сфере противодействия незаконному обороту промышленной продукции основывается </w:t>
      </w:r>
      <w:r>
        <w:rPr>
          <w:rFonts w:ascii="Times New Roman" w:hAnsi="Times New Roman" w:cs="Times New Roman"/>
          <w:b/>
          <w:sz w:val="28"/>
          <w:szCs w:val="28"/>
        </w:rPr>
        <w:t>на следующих принципах: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законности</w:t>
      </w:r>
      <w:r>
        <w:rPr>
          <w:rFonts w:ascii="Times New Roman" w:hAnsi="Times New Roman" w:cs="Times New Roman"/>
          <w:sz w:val="28"/>
          <w:szCs w:val="28"/>
        </w:rPr>
        <w:t>, то есть соответствия порядка подготовки и заключения соглашения, целей и предмета заключаемого соглашения, предлагаемых форм и инструментов взаимодействия в указанной сфере требованиям действующего административного, гражданского, антимонопольного, антикоррупционного и др. законодательства;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предполагает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публичный режим процедуры подготовки, обсуждения и заключения соглашения; возможность присоединения к заключаемому (заключенному) соглашению других членов бизнес-сообщества, органов государственной власти и местного самоуправления; размещение текста соглашения в открытом доступе;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баланса интересов сторон соглашения, </w:t>
      </w:r>
      <w:r>
        <w:rPr>
          <w:rFonts w:ascii="Times New Roman" w:hAnsi="Times New Roman" w:cs="Times New Roman"/>
          <w:sz w:val="28"/>
          <w:szCs w:val="28"/>
        </w:rPr>
        <w:t>то есть учета в рамках такой деятельности публичных интересов государства и общества; прав и законных интересов бизнес-сообщества, вытекающих из характера и специфики осуществляемой деятельности.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подготовке и содержанию соглашений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соглашения может состоять из следующих </w:t>
      </w:r>
      <w:r>
        <w:rPr>
          <w:rFonts w:ascii="Times New Roman" w:hAnsi="Times New Roman" w:cs="Times New Roman"/>
          <w:b/>
          <w:sz w:val="28"/>
          <w:szCs w:val="28"/>
        </w:rPr>
        <w:t>разделов: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стороны соглашения;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предмет соглашения;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реализации соглашения с указанием прав и обязанностей (полномочий) каждой из сторон соглашения;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заключительные положения.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Предмет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соглашений является организация взаимодействия (сотрудничества) и (или) проведение мероприятий в сфере противодействия незаконному обороту промышленной продукции.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Предметом соглашений между отраслевыми объединениями, а также между отраслевыми объединениями и коммерческими организациями может являться, в частности: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обязательство о соблюдении требований законодательства при осуществлении предпринимательской или иной деятельности;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совместное проведение мониторинга ситуации в сфере противодействия незаконному обороту промышленной продукции на отдельных товарных рынках (сегментах товарного рынка) с целью выявления нарушений обязательных требований, а также направление полученной информации для принятия мер реагирования в контрольно-надзорные и (или) правоохранительные органы;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совместное проведение выездных мероприятий по выявлению фактов нарушений законодательства при производстве, ввозе, хранении и реализации промышленной продукции (например, обнаружение фактов реализации товаров без маркировки в торговых точках, проверка адреса местонахождения производственных площадей предприятия-изготовителя промышленной продукции и т.д.);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пилотных проектов в сфере противодействия незаконному обороту промышленной продукции (например, документарной проверки реализуемой или закупаемой промышленной продукции, проведение отбора образцов промышленной продукции для проведения экспертизы (испытаний) и т.д.);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подготовка предложений и системных мер в сфере противодействия незаконному обороту промышленной продукции, продвижение указанных предложений на общественных и государственных площадках;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проведение мероприятий по повышению уровня грамотности населения в области определения законности оборота и безопасности промышленной продукции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(например, проведение обучающих семинаров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вэбинаров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размещение на постоянной основе на открытых ресурсах в информационно-телекоммуникационной сети «Интернет» информации и материалов по данной тематике и т.д.).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Предметом соглашений между отраслевыми объединениями и органами государственной власти (органами местного самоуправления) может являться, в частности: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обмен информацией в сфере противодействия незаконному обороту промышленной продукции, в том числе консультирование по вопросам нормативно-правового регулирования, аспектам отраслевой специфики;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взаимодействие в целях совершенствования правоприменительной практики в сфере противодействия незаконному обороту промышленной продукции, в том числе по вопросам предотвращения производства и реализации контрафактной и фальсифицированной продукции;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подготовка предложений и системных мер в сфере противодействия незаконному обороту промышленной продукции, а также по повышению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конкурентноспособности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отечественной продукции;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пилотных проектов в сфере противодействия незаконному обороту промышленной продукции (например, документарной проверки реализуемой или закупаемой промышленной продукции и т.д.);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проведение мероприятий по повышению уровня грамотности населения в области определения законности оборота и безопасности промышленной продукции (например, проведение обучающих семинаров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вэбинаров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размещение на постоянной основе на открытых ресурсах в информационно-телекоммуникационной сети «Интернет» информации и материалов по данной тематике и т.д.).</w:t>
      </w:r>
    </w:p>
    <w:p w:rsidR="005B094A" w:rsidRDefault="005B094A" w:rsidP="005B09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>
        <w:rPr>
          <w:rFonts w:ascii="Times New Roman" w:hAnsi="Times New Roman" w:cs="Times New Roman"/>
          <w:b/>
          <w:sz w:val="28"/>
          <w:szCs w:val="28"/>
        </w:rPr>
        <w:t>не может быть предметом соглашения</w:t>
      </w:r>
      <w:r>
        <w:rPr>
          <w:rFonts w:ascii="Times New Roman" w:hAnsi="Times New Roman" w:cs="Times New Roman"/>
          <w:sz w:val="28"/>
          <w:szCs w:val="28"/>
        </w:rPr>
        <w:t xml:space="preserve"> совершение действий (взятие обязательств, проведение мероприятий и т.д.), которые направлены либо сопряжены с нарушением требований законодательства.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не могут быть предметом соглашения следующие действия: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имеющие своей целью либо сопряженные с нарушением или ограничением прав и законных интересов граждан, организаций, общества и государства;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связанные с совершением преступлений, административных правонарушений, причинением имущественного ущерба;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направленные на недопущение, ограничение, устранение конкуренции, в том числе установление запретов (ограничений) по ведению предпринимательской деятельности;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предусматривающие нарушение устава организации, положения об органе государственной власти (органе местного самоуправления).</w:t>
      </w:r>
    </w:p>
    <w:p w:rsidR="005B094A" w:rsidRDefault="005B094A" w:rsidP="005B09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реализации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определяет механизм реализации соглашения, права и обязанности (полномочия) сторон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соглашения в рамках его реализации могут проводить взаимные консультации, рабочие встречи, тематические семинары, создавать рабочие группы по вопросам, входящим в предмет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эффективности проводимой работы стороны соглашения могут разрабатывать планы, блок-схемы, методические рекомендации, «дорожные карты», памятки и другие документы.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соглашения вправе определить лиц, ответственных за информационный обмен, координацию взаимодействия, проведение отдельных мероприятий, входящих в предмет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реализации соглашения </w:t>
      </w:r>
      <w:r>
        <w:rPr>
          <w:rFonts w:ascii="Times New Roman" w:hAnsi="Times New Roman" w:cs="Times New Roman"/>
          <w:b/>
          <w:sz w:val="28"/>
          <w:szCs w:val="28"/>
        </w:rPr>
        <w:t>не должен противоречить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действующего законодательства, а также устава организации, положения об органе государственной власти (органе местного самоуправления).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Заключительные положения.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должен включать положения о сроке действия соглашения, порядках разрешения споров, пролонгации и расторжения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и дополнений в соглашение производится в письменном виде по согласию сторон соглашения.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может быть заключено на неопределенный срок.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 и разногласия, которые могут возникнуть при реализации соглашения, разрешаются путем переговоров.</w:t>
      </w:r>
    </w:p>
    <w:p w:rsidR="005B094A" w:rsidRDefault="005B094A" w:rsidP="005B0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650" w:rsidRPr="005B094A" w:rsidRDefault="00E15650" w:rsidP="005B094A"/>
    <w:sectPr w:rsidR="00E15650" w:rsidRPr="005B094A" w:rsidSect="00804A01">
      <w:headerReference w:type="default" r:id="rId8"/>
      <w:pgSz w:w="11906" w:h="16838"/>
      <w:pgMar w:top="1134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9C" w:rsidRDefault="0070679C" w:rsidP="00290EE2">
      <w:pPr>
        <w:spacing w:after="0" w:line="240" w:lineRule="auto"/>
      </w:pPr>
      <w:r>
        <w:separator/>
      </w:r>
    </w:p>
  </w:endnote>
  <w:endnote w:type="continuationSeparator" w:id="0">
    <w:p w:rsidR="0070679C" w:rsidRDefault="0070679C" w:rsidP="0029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9C" w:rsidRDefault="0070679C" w:rsidP="00290EE2">
      <w:pPr>
        <w:spacing w:after="0" w:line="240" w:lineRule="auto"/>
      </w:pPr>
      <w:r>
        <w:separator/>
      </w:r>
    </w:p>
  </w:footnote>
  <w:footnote w:type="continuationSeparator" w:id="0">
    <w:p w:rsidR="0070679C" w:rsidRDefault="0070679C" w:rsidP="0029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743797"/>
      <w:docPartObj>
        <w:docPartGallery w:val="Page Numbers (Top of Page)"/>
        <w:docPartUnique/>
      </w:docPartObj>
    </w:sdtPr>
    <w:sdtEndPr/>
    <w:sdtContent>
      <w:p w:rsidR="006C3704" w:rsidRDefault="006C37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E9">
          <w:rPr>
            <w:noProof/>
          </w:rPr>
          <w:t>6</w:t>
        </w:r>
        <w:r>
          <w:fldChar w:fldCharType="end"/>
        </w:r>
      </w:p>
    </w:sdtContent>
  </w:sdt>
  <w:p w:rsidR="006C3704" w:rsidRDefault="006C37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584"/>
    <w:multiLevelType w:val="hybridMultilevel"/>
    <w:tmpl w:val="6E8C495C"/>
    <w:lvl w:ilvl="0" w:tplc="5D0E6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C84"/>
    <w:multiLevelType w:val="hybridMultilevel"/>
    <w:tmpl w:val="C5FE393C"/>
    <w:lvl w:ilvl="0" w:tplc="428C83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44FEC"/>
    <w:multiLevelType w:val="hybridMultilevel"/>
    <w:tmpl w:val="9A18F8C4"/>
    <w:lvl w:ilvl="0" w:tplc="1C30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9307B"/>
    <w:multiLevelType w:val="hybridMultilevel"/>
    <w:tmpl w:val="2F728B2C"/>
    <w:lvl w:ilvl="0" w:tplc="1C30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972591"/>
    <w:multiLevelType w:val="hybridMultilevel"/>
    <w:tmpl w:val="E1D2F79A"/>
    <w:lvl w:ilvl="0" w:tplc="374E0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D7113B"/>
    <w:multiLevelType w:val="hybridMultilevel"/>
    <w:tmpl w:val="395624DA"/>
    <w:lvl w:ilvl="0" w:tplc="A43AB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694BDE"/>
    <w:multiLevelType w:val="hybridMultilevel"/>
    <w:tmpl w:val="1316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C5B"/>
    <w:multiLevelType w:val="hybridMultilevel"/>
    <w:tmpl w:val="C3BCB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D370C"/>
    <w:multiLevelType w:val="hybridMultilevel"/>
    <w:tmpl w:val="ABD8239C"/>
    <w:lvl w:ilvl="0" w:tplc="E90AB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BA4272"/>
    <w:multiLevelType w:val="hybridMultilevel"/>
    <w:tmpl w:val="14EE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F373E"/>
    <w:multiLevelType w:val="hybridMultilevel"/>
    <w:tmpl w:val="5E30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69B5"/>
    <w:multiLevelType w:val="hybridMultilevel"/>
    <w:tmpl w:val="118A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53C0D"/>
    <w:multiLevelType w:val="hybridMultilevel"/>
    <w:tmpl w:val="B5DEBA7E"/>
    <w:lvl w:ilvl="0" w:tplc="CC822BA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DA149F"/>
    <w:multiLevelType w:val="hybridMultilevel"/>
    <w:tmpl w:val="A33E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A5657"/>
    <w:multiLevelType w:val="hybridMultilevel"/>
    <w:tmpl w:val="E576A0AE"/>
    <w:lvl w:ilvl="0" w:tplc="81B0A5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811CE3"/>
    <w:multiLevelType w:val="hybridMultilevel"/>
    <w:tmpl w:val="42CAB2EC"/>
    <w:lvl w:ilvl="0" w:tplc="F3A80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726F"/>
    <w:multiLevelType w:val="hybridMultilevel"/>
    <w:tmpl w:val="AD9CBD96"/>
    <w:lvl w:ilvl="0" w:tplc="1C30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B132EB"/>
    <w:multiLevelType w:val="hybridMultilevel"/>
    <w:tmpl w:val="118A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6"/>
  </w:num>
  <w:num w:numId="13">
    <w:abstractNumId w:val="0"/>
  </w:num>
  <w:num w:numId="14">
    <w:abstractNumId w:val="15"/>
  </w:num>
  <w:num w:numId="15">
    <w:abstractNumId w:val="4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A8"/>
    <w:rsid w:val="00027043"/>
    <w:rsid w:val="00031B99"/>
    <w:rsid w:val="000413C0"/>
    <w:rsid w:val="000418D1"/>
    <w:rsid w:val="00047020"/>
    <w:rsid w:val="00085DB0"/>
    <w:rsid w:val="00095235"/>
    <w:rsid w:val="000953F1"/>
    <w:rsid w:val="000D560A"/>
    <w:rsid w:val="000E1ACE"/>
    <w:rsid w:val="000E488E"/>
    <w:rsid w:val="000F06AA"/>
    <w:rsid w:val="000F0A9F"/>
    <w:rsid w:val="000F6010"/>
    <w:rsid w:val="000F6F21"/>
    <w:rsid w:val="001018AE"/>
    <w:rsid w:val="00102503"/>
    <w:rsid w:val="0010275E"/>
    <w:rsid w:val="0010285A"/>
    <w:rsid w:val="00144C33"/>
    <w:rsid w:val="00154954"/>
    <w:rsid w:val="00176CA3"/>
    <w:rsid w:val="00181641"/>
    <w:rsid w:val="00193267"/>
    <w:rsid w:val="001C3170"/>
    <w:rsid w:val="001F1F08"/>
    <w:rsid w:val="001F516C"/>
    <w:rsid w:val="001F5A1A"/>
    <w:rsid w:val="001F68F9"/>
    <w:rsid w:val="00201B47"/>
    <w:rsid w:val="002050B8"/>
    <w:rsid w:val="002167B0"/>
    <w:rsid w:val="0023187C"/>
    <w:rsid w:val="002327EC"/>
    <w:rsid w:val="002373A6"/>
    <w:rsid w:val="00245AB1"/>
    <w:rsid w:val="00247911"/>
    <w:rsid w:val="00251327"/>
    <w:rsid w:val="00270001"/>
    <w:rsid w:val="00290EE2"/>
    <w:rsid w:val="00291B34"/>
    <w:rsid w:val="002A4861"/>
    <w:rsid w:val="002A4E86"/>
    <w:rsid w:val="002B5C60"/>
    <w:rsid w:val="002C6501"/>
    <w:rsid w:val="002C7300"/>
    <w:rsid w:val="002D156C"/>
    <w:rsid w:val="002D3DE2"/>
    <w:rsid w:val="002F4015"/>
    <w:rsid w:val="002F4ED6"/>
    <w:rsid w:val="00310026"/>
    <w:rsid w:val="003171E1"/>
    <w:rsid w:val="003343B7"/>
    <w:rsid w:val="00344538"/>
    <w:rsid w:val="00363B74"/>
    <w:rsid w:val="0036511C"/>
    <w:rsid w:val="0037145C"/>
    <w:rsid w:val="003727F4"/>
    <w:rsid w:val="00376342"/>
    <w:rsid w:val="00377FC8"/>
    <w:rsid w:val="003A2923"/>
    <w:rsid w:val="003C13ED"/>
    <w:rsid w:val="003C14B0"/>
    <w:rsid w:val="003C191B"/>
    <w:rsid w:val="003C46FC"/>
    <w:rsid w:val="003E4B44"/>
    <w:rsid w:val="003E5F0D"/>
    <w:rsid w:val="003F28AB"/>
    <w:rsid w:val="00403FB8"/>
    <w:rsid w:val="00415924"/>
    <w:rsid w:val="00421C69"/>
    <w:rsid w:val="00430D4C"/>
    <w:rsid w:val="00431423"/>
    <w:rsid w:val="0043767A"/>
    <w:rsid w:val="0044640C"/>
    <w:rsid w:val="0045015D"/>
    <w:rsid w:val="00452952"/>
    <w:rsid w:val="004537A6"/>
    <w:rsid w:val="004566EA"/>
    <w:rsid w:val="0046708D"/>
    <w:rsid w:val="0046728E"/>
    <w:rsid w:val="00477D2A"/>
    <w:rsid w:val="0048470D"/>
    <w:rsid w:val="004B1434"/>
    <w:rsid w:val="004B295F"/>
    <w:rsid w:val="004D4FC7"/>
    <w:rsid w:val="004F17EB"/>
    <w:rsid w:val="00501FE3"/>
    <w:rsid w:val="0050742F"/>
    <w:rsid w:val="0051356B"/>
    <w:rsid w:val="0052058C"/>
    <w:rsid w:val="00530B7A"/>
    <w:rsid w:val="00536886"/>
    <w:rsid w:val="005814C3"/>
    <w:rsid w:val="00585E6A"/>
    <w:rsid w:val="00593206"/>
    <w:rsid w:val="005A5916"/>
    <w:rsid w:val="005B094A"/>
    <w:rsid w:val="005B46E6"/>
    <w:rsid w:val="005D22C0"/>
    <w:rsid w:val="005E3CD3"/>
    <w:rsid w:val="005F783A"/>
    <w:rsid w:val="00600E3D"/>
    <w:rsid w:val="006122BC"/>
    <w:rsid w:val="00615ED6"/>
    <w:rsid w:val="0061743C"/>
    <w:rsid w:val="00624606"/>
    <w:rsid w:val="00655290"/>
    <w:rsid w:val="00673DD5"/>
    <w:rsid w:val="00685C37"/>
    <w:rsid w:val="006A3491"/>
    <w:rsid w:val="006A3D7E"/>
    <w:rsid w:val="006A69DD"/>
    <w:rsid w:val="006B29CE"/>
    <w:rsid w:val="006C3704"/>
    <w:rsid w:val="006D7984"/>
    <w:rsid w:val="006E028A"/>
    <w:rsid w:val="006E3CC7"/>
    <w:rsid w:val="006F7ADD"/>
    <w:rsid w:val="0070679C"/>
    <w:rsid w:val="00710F17"/>
    <w:rsid w:val="00716234"/>
    <w:rsid w:val="00736422"/>
    <w:rsid w:val="00741262"/>
    <w:rsid w:val="00742F5E"/>
    <w:rsid w:val="00761109"/>
    <w:rsid w:val="007622C8"/>
    <w:rsid w:val="0077179C"/>
    <w:rsid w:val="00775EAC"/>
    <w:rsid w:val="0078030D"/>
    <w:rsid w:val="007827A5"/>
    <w:rsid w:val="007827FA"/>
    <w:rsid w:val="007A0919"/>
    <w:rsid w:val="007B58C6"/>
    <w:rsid w:val="007C543D"/>
    <w:rsid w:val="007C5B26"/>
    <w:rsid w:val="007C741D"/>
    <w:rsid w:val="007D687B"/>
    <w:rsid w:val="007E1E6D"/>
    <w:rsid w:val="007E47E2"/>
    <w:rsid w:val="007F6952"/>
    <w:rsid w:val="00804A01"/>
    <w:rsid w:val="008127C0"/>
    <w:rsid w:val="008166A8"/>
    <w:rsid w:val="008173E5"/>
    <w:rsid w:val="008174A2"/>
    <w:rsid w:val="00825DF4"/>
    <w:rsid w:val="00832F63"/>
    <w:rsid w:val="0083321F"/>
    <w:rsid w:val="00834E29"/>
    <w:rsid w:val="008439FB"/>
    <w:rsid w:val="008464CA"/>
    <w:rsid w:val="008534D0"/>
    <w:rsid w:val="008742EE"/>
    <w:rsid w:val="008749A8"/>
    <w:rsid w:val="00881EAA"/>
    <w:rsid w:val="00883AEF"/>
    <w:rsid w:val="00883F83"/>
    <w:rsid w:val="00885404"/>
    <w:rsid w:val="00890D34"/>
    <w:rsid w:val="00894F35"/>
    <w:rsid w:val="008A1270"/>
    <w:rsid w:val="008A3CFB"/>
    <w:rsid w:val="008B23E4"/>
    <w:rsid w:val="008B72A0"/>
    <w:rsid w:val="008C1242"/>
    <w:rsid w:val="008D38D6"/>
    <w:rsid w:val="008D5DD9"/>
    <w:rsid w:val="008D5E46"/>
    <w:rsid w:val="008E0CDA"/>
    <w:rsid w:val="008E7052"/>
    <w:rsid w:val="008F0127"/>
    <w:rsid w:val="009015B9"/>
    <w:rsid w:val="00920171"/>
    <w:rsid w:val="00925800"/>
    <w:rsid w:val="009377DE"/>
    <w:rsid w:val="0094007C"/>
    <w:rsid w:val="0094738B"/>
    <w:rsid w:val="00951CA3"/>
    <w:rsid w:val="00952FB2"/>
    <w:rsid w:val="00965DB5"/>
    <w:rsid w:val="009B7BC3"/>
    <w:rsid w:val="009D19CB"/>
    <w:rsid w:val="009D7171"/>
    <w:rsid w:val="00A02616"/>
    <w:rsid w:val="00A05EC2"/>
    <w:rsid w:val="00A05FF9"/>
    <w:rsid w:val="00A12165"/>
    <w:rsid w:val="00A216E9"/>
    <w:rsid w:val="00A31EEA"/>
    <w:rsid w:val="00A52452"/>
    <w:rsid w:val="00A60CB2"/>
    <w:rsid w:val="00A6478F"/>
    <w:rsid w:val="00A65F79"/>
    <w:rsid w:val="00A678A3"/>
    <w:rsid w:val="00A71B74"/>
    <w:rsid w:val="00A740D9"/>
    <w:rsid w:val="00A753CC"/>
    <w:rsid w:val="00A84CCB"/>
    <w:rsid w:val="00A95BD0"/>
    <w:rsid w:val="00A97857"/>
    <w:rsid w:val="00AC24B2"/>
    <w:rsid w:val="00AC78C6"/>
    <w:rsid w:val="00B03F62"/>
    <w:rsid w:val="00B07854"/>
    <w:rsid w:val="00B21865"/>
    <w:rsid w:val="00B35D09"/>
    <w:rsid w:val="00B6201C"/>
    <w:rsid w:val="00B77ED7"/>
    <w:rsid w:val="00BC24B2"/>
    <w:rsid w:val="00BE5527"/>
    <w:rsid w:val="00BE5C7A"/>
    <w:rsid w:val="00BF00C6"/>
    <w:rsid w:val="00BF45E7"/>
    <w:rsid w:val="00BF7842"/>
    <w:rsid w:val="00C327FB"/>
    <w:rsid w:val="00C368CE"/>
    <w:rsid w:val="00C459A1"/>
    <w:rsid w:val="00C4695D"/>
    <w:rsid w:val="00C71639"/>
    <w:rsid w:val="00C969C6"/>
    <w:rsid w:val="00CA0D35"/>
    <w:rsid w:val="00CA567E"/>
    <w:rsid w:val="00CA59D1"/>
    <w:rsid w:val="00CB1587"/>
    <w:rsid w:val="00CB6327"/>
    <w:rsid w:val="00CE7FE5"/>
    <w:rsid w:val="00CF4EF3"/>
    <w:rsid w:val="00D17015"/>
    <w:rsid w:val="00D248D8"/>
    <w:rsid w:val="00D402EA"/>
    <w:rsid w:val="00D60173"/>
    <w:rsid w:val="00D6048B"/>
    <w:rsid w:val="00D6145C"/>
    <w:rsid w:val="00D627E8"/>
    <w:rsid w:val="00D765A1"/>
    <w:rsid w:val="00D84CA9"/>
    <w:rsid w:val="00D90D56"/>
    <w:rsid w:val="00D96309"/>
    <w:rsid w:val="00DB74D0"/>
    <w:rsid w:val="00DC3109"/>
    <w:rsid w:val="00DD3552"/>
    <w:rsid w:val="00DD4108"/>
    <w:rsid w:val="00DD4E42"/>
    <w:rsid w:val="00DE2E5E"/>
    <w:rsid w:val="00DE519F"/>
    <w:rsid w:val="00DF73C9"/>
    <w:rsid w:val="00E01FCC"/>
    <w:rsid w:val="00E03318"/>
    <w:rsid w:val="00E15650"/>
    <w:rsid w:val="00E2638D"/>
    <w:rsid w:val="00E26C2A"/>
    <w:rsid w:val="00E27335"/>
    <w:rsid w:val="00E55515"/>
    <w:rsid w:val="00E87035"/>
    <w:rsid w:val="00E91F6F"/>
    <w:rsid w:val="00EA2382"/>
    <w:rsid w:val="00EB0EE6"/>
    <w:rsid w:val="00EC0F8C"/>
    <w:rsid w:val="00ED13EB"/>
    <w:rsid w:val="00ED3121"/>
    <w:rsid w:val="00ED5496"/>
    <w:rsid w:val="00EF7B3D"/>
    <w:rsid w:val="00F159D0"/>
    <w:rsid w:val="00F250F8"/>
    <w:rsid w:val="00F3141B"/>
    <w:rsid w:val="00F33974"/>
    <w:rsid w:val="00F379A1"/>
    <w:rsid w:val="00F416E0"/>
    <w:rsid w:val="00F5724A"/>
    <w:rsid w:val="00F602BF"/>
    <w:rsid w:val="00F77A0B"/>
    <w:rsid w:val="00F877BC"/>
    <w:rsid w:val="00FB28F5"/>
    <w:rsid w:val="00FC026C"/>
    <w:rsid w:val="00FC11B1"/>
    <w:rsid w:val="00FC5C1C"/>
    <w:rsid w:val="00FE1E1A"/>
    <w:rsid w:val="00FE4794"/>
    <w:rsid w:val="00FF48C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B28FC-D2BA-4469-81C5-EE5463E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0E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0EE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0EE2"/>
    <w:rPr>
      <w:vertAlign w:val="superscript"/>
    </w:rPr>
  </w:style>
  <w:style w:type="paragraph" w:customStyle="1" w:styleId="Default">
    <w:name w:val="Default"/>
    <w:rsid w:val="002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85DB0"/>
    <w:pPr>
      <w:spacing w:line="259" w:lineRule="auto"/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0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616"/>
  </w:style>
  <w:style w:type="character" w:styleId="a9">
    <w:name w:val="Hyperlink"/>
    <w:basedOn w:val="a0"/>
    <w:uiPriority w:val="99"/>
    <w:unhideWhenUsed/>
    <w:rsid w:val="00F3141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5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2952"/>
  </w:style>
  <w:style w:type="character" w:styleId="ac">
    <w:name w:val="annotation reference"/>
    <w:basedOn w:val="a0"/>
    <w:uiPriority w:val="99"/>
    <w:semiHidden/>
    <w:unhideWhenUsed/>
    <w:rsid w:val="004672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728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728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728E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6728E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37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4982-FAD2-4001-ADC1-47E772DE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 Анатолий Владимирович</dc:creator>
  <cp:keywords/>
  <dc:description/>
  <cp:lastModifiedBy>Кутузова Александра Николаевна</cp:lastModifiedBy>
  <cp:revision>2</cp:revision>
  <dcterms:created xsi:type="dcterms:W3CDTF">2018-11-06T13:54:00Z</dcterms:created>
  <dcterms:modified xsi:type="dcterms:W3CDTF">2018-11-06T13:54:00Z</dcterms:modified>
</cp:coreProperties>
</file>